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B85F0">
      <w:pPr>
        <w:jc w:val="center"/>
        <w:rPr>
          <w:rFonts w:hint="eastAsia" w:ascii="方正小标宋简体" w:hAnsi="方正小标宋简体" w:eastAsia="方正小标宋简体" w:cs="方正小标宋简体"/>
          <w:sz w:val="36"/>
          <w:szCs w:val="36"/>
          <w:lang w:eastAsia="zh-CN"/>
        </w:rPr>
      </w:pPr>
      <w:bookmarkStart w:id="0" w:name="_GoBack"/>
      <w:r>
        <w:rPr>
          <w:rFonts w:hint="eastAsia" w:ascii="方正小标宋简体" w:hAnsi="方正小标宋简体" w:eastAsia="方正小标宋简体" w:cs="方正小标宋简体"/>
          <w:sz w:val="36"/>
          <w:szCs w:val="36"/>
          <w:lang w:val="en-US" w:eastAsia="zh-CN"/>
        </w:rPr>
        <w:t>关于转发《</w:t>
      </w:r>
      <w:r>
        <w:rPr>
          <w:rFonts w:hint="eastAsia" w:ascii="方正小标宋简体" w:hAnsi="方正小标宋简体" w:eastAsia="方正小标宋简体" w:cs="方正小标宋简体"/>
          <w:sz w:val="36"/>
          <w:szCs w:val="36"/>
          <w:lang w:eastAsia="zh-CN"/>
        </w:rPr>
        <w:t>2025年天津市哲学社会科学规划项目</w:t>
      </w:r>
    </w:p>
    <w:p w14:paraId="4589B1DE">
      <w:pPr>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津派文化研究专项申报通知》</w:t>
      </w:r>
      <w:r>
        <w:rPr>
          <w:rFonts w:hint="eastAsia" w:ascii="方正小标宋简体" w:hAnsi="方正小标宋简体" w:eastAsia="方正小标宋简体" w:cs="方正小标宋简体"/>
          <w:sz w:val="36"/>
          <w:szCs w:val="36"/>
          <w:lang w:val="en-US" w:eastAsia="zh-CN"/>
        </w:rPr>
        <w:t>的通知</w:t>
      </w:r>
    </w:p>
    <w:bookmarkEnd w:id="0"/>
    <w:p w14:paraId="7F38D4D6">
      <w:pPr>
        <w:jc w:val="center"/>
        <w:rPr>
          <w:rFonts w:hint="eastAsia" w:ascii="方正小标宋简体" w:hAnsi="方正小标宋简体" w:eastAsia="方正小标宋简体" w:cs="方正小标宋简体"/>
          <w:sz w:val="36"/>
          <w:szCs w:val="36"/>
          <w:lang w:eastAsia="zh-CN"/>
        </w:rPr>
      </w:pPr>
    </w:p>
    <w:p w14:paraId="1081C79D">
      <w:pPr>
        <w:rPr>
          <w:rFonts w:hint="eastAsia"/>
        </w:rPr>
      </w:pPr>
    </w:p>
    <w:p w14:paraId="03A07AE7">
      <w:pPr>
        <w:rPr>
          <w:rFonts w:hint="eastAsia"/>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学院（部）、相关处室：</w:t>
      </w:r>
    </w:p>
    <w:p w14:paraId="3A5A14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为做好2025年天津市社科规划项目津派文化研究专项申报工作，市哲学社会科学工作办公室现就有关事项通知如下。</w:t>
      </w:r>
    </w:p>
    <w:p w14:paraId="48EBD5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14:paraId="5FFFF4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统领，认真贯彻习近平文化思想，一体深刻学习把握党的二十届三中全会对深化文化体制机制改革的重要部署、习近平总书记视察天津重要讲话精神特别是“在推动文化传承发展上善作善成”重要要求，以及市委十二届六次全会和天津市推动文化传承发展工作会议暨全市旅游发展大会精神，坚定文化自信，坚持守正创新，结合天津以文化人、以文惠民、以文润城、以文兴业的生动实践，深入开展津派文化研究，梳理鲜明特色、挖掘深刻内涵，阐发时代价值、赓续城市文脉，创新发展形态、塑造文化品牌，为推动文化传承发展、建设社会主义现代化大都市贡献力量。</w:t>
      </w:r>
    </w:p>
    <w:p w14:paraId="0E45A2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二、项目类别和资助额度</w:t>
      </w:r>
    </w:p>
    <w:p w14:paraId="6508AD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本次受理申报的专项包括重点项目、一般项目和青年项目。申报重点项目评审未通过的，可择优转立为一般项目。根据申报情况，评审确定各类项目立项数量。</w:t>
      </w:r>
    </w:p>
    <w:p w14:paraId="1105E8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本项目经费可适用于包干制。重点项目经费资助额度为1.5万元，一般项目和青年项目经费资助额度为0.5万元。</w:t>
      </w:r>
    </w:p>
    <w:p w14:paraId="7E780E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三、课题研究方向</w:t>
      </w:r>
    </w:p>
    <w:p w14:paraId="414FF7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足天津地域文化特色，坚持基础理论研究和应用对策研究相结合，既鼓励对前期已有研究情况和成果进行梳理，做到有的放矢，也鼓励加强顶层设计，分阶段、分领域开展研究。既可以开展津派文化总体性研究，也可以围绕体现天津文化特质的标志性符号开展针对性研究，推出具有学术创新、决策参考和文化传承价值的研究成果，进一步提升津派文化影响力。重点研究选题方向如下：</w:t>
      </w:r>
    </w:p>
    <w:p w14:paraId="7D3002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关于津派文化总体性研究。从总体上深化研究阐发津派文化历史源流、发展现状、时代价值，津派文化彰显的地域特色、人文精神、价值理念，津派文化与我国其他地域文化的关联性与差异性，津派文化与旅游商贸等其他领域交融互动发展，津派文化在推动中华优秀传统文化创造性转化、创新性发展进程中的作用和贡献等。</w:t>
      </w:r>
    </w:p>
    <w:p w14:paraId="4D0D1C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关于河海文化研究。围绕河海文化的内涵、特征、表现形式、创造性转化和创新性发展等开展学理性研究，加强河海文化载体建设，优化功能品质、强化国际传播，叫响“河海津韵”城市名片，展现独特的城市精神气质。</w:t>
      </w:r>
    </w:p>
    <w:p w14:paraId="79AFA7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关于红色文化研究。围绕红色文化的内涵、特征、表现形式、创造性转化和创新性发展等开展学理性研究，加强红色资源保护管理，开展红色文化系统研究，把红色资源利用好、把红色传统发扬好、把红色基因传承好，从红色文化中汲取前进的智慧和力量。</w:t>
      </w:r>
    </w:p>
    <w:p w14:paraId="1D7129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关于建筑文化研究。围绕建筑文化的内涵、特征、表现形式、创造性转化和创新性发展等开展学理性研究，加强历史风貌建筑、历史文化街区、历史名镇名村保护，深入挖掘文物和文化遗产的研究展示、经营发展等多重价值，统筹做好保护传承和盘活利用，传承好发展好独特的建筑风格。</w:t>
      </w:r>
    </w:p>
    <w:p w14:paraId="7C32BF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关于工商文化研究。围绕工商文化的内涵、特征、表现形式、创造性转化和创新性发展等开展学理性研究，加强工商文化载体建设，挖掘工商业遗存价值，推进工商文化与创意文化深度融合，赋予新的时代内涵，为产业发展、城市建设注入更多文化因素，重塑百年工商文化名城形象。</w:t>
      </w:r>
    </w:p>
    <w:p w14:paraId="374BCE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关于民俗文化研究。围绕民俗文化的内涵、特征、表现形式、创造性转化和创新性发展等开展学理性研究，加强民俗文化载体建设，积极探索民俗文化创新发展的有效路径，开发更多具有文化特色、匠心技艺、时代价值的优质产品，发挥具有产业属性的传统民俗文化的经济效益、文化价值，增强表现力、传播力、感染力，推动非物质文化遗产传承传播，让优秀传统文化更好地活在当下、服务当代。</w:t>
      </w:r>
    </w:p>
    <w:p w14:paraId="30AF72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关于演艺文化研究。围绕演艺文化的内涵、特征、表现形式、创造性转化和创新性发展等开展学理性研究，包括文学、戏剧、影视、音乐、美术、曲艺等领域，加强演艺文化载体建设，创新实施文化惠民工程，提升公共文化服务效能，推进演艺事业积极健康发展。</w:t>
      </w:r>
    </w:p>
    <w:p w14:paraId="1E80B4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关于文博文化研究。围绕文博文化的内涵、特征、表现形式、创造性转化和创新性发展等开展学理性研究，用好天津文博资源，促进不同层级、地域、类型、属性博物馆均衡发展，深化文博行业改革创新，释放文博行业发展活力，推动文化遗产和文博资源智能化管理、数字化传播、多媒体呈现，加快文博事业数智化转型。</w:t>
      </w:r>
    </w:p>
    <w:p w14:paraId="16CB72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关于休闲文化研究。围绕休闲文化的内涵、特征、表现形式、创造性转化和创新性发展等开展学理性研究，加强休闲文化载体建设，提升城市规划管理水平、城市空间舒适度、公共服务品质，建设宜业、宜居、宜乐、宜游的休闲都市。</w:t>
      </w:r>
    </w:p>
    <w:p w14:paraId="750761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围绕以上所列九个方面的研究选题方向，结合自身研究专长和基础，自拟题目开展理论研究或对策研究。也可以聚焦津派文化主题，从传承发展城市文化，培育滋养城市文明；创新文化发展形态，打造津派文化品牌等多领域多视角自选方向拟定题目，开展有针对性的理论研究或对策研究。申报课题名称表述要符合项目定位，科学严谨、简明规范，避免引起歧义或争议。申请人要熟悉了解相关领域前沿研究动态，紧密结合天津实际开展论证，推出高质量研究成果。</w:t>
      </w:r>
    </w:p>
    <w:p w14:paraId="7E8948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四、申请人条件</w:t>
      </w:r>
    </w:p>
    <w:p w14:paraId="6B4FF3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申请人正式工作单位须在天津市（含中央和各省区市驻津单位）。申请人为津派文化研究中心特聘研究员的，也可依托天津社会科学院进行申报。</w:t>
      </w:r>
    </w:p>
    <w:p w14:paraId="104D7D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须遵守中华人民共和国宪法和法律，遵守天津市哲学社会科学规划项目有关管理规定；熟知相关领域研究前沿动态，具有独立开展研究和组织开展研究的能力，能够承担实质性研究工作；坚守学术诚信，遵守学术道德，品行端正，学风优良。</w:t>
      </w:r>
    </w:p>
    <w:p w14:paraId="50193E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申请人自主选择申报重点项目、一般项目或青年项目。其中申报青年项目的，男性申请人年龄不超过35周岁（1990年3月31日后出生），女性申请人年龄不超过40周岁（1985年3月31日后出生）。</w:t>
      </w:r>
    </w:p>
    <w:p w14:paraId="4DF7EC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研的国家社科基金、教育部人文社科、天津市社科规划等各类项目负责人可以申报本专项；申报本专项获得立项的，在研期间不影响申报天津市社科规划其他项目。全日制在读研究生不能申请（学历、学位证书标注日期均须在2025年3月31日之前）。符合申报要求的在站博士后人员可申请，其中全脱产博士后须从所在博士后工作站申请，在职博士后可以从所在工作单位或博士后工作站申请。申请人所列课题组成员须征得其本人同意并签字确认，否则视为违规申报。</w:t>
      </w:r>
    </w:p>
    <w:p w14:paraId="507498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五、申请单位条件</w:t>
      </w:r>
    </w:p>
    <w:p w14:paraId="7EE299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相关领域具有较雄厚的学术资源和研究实力；设有科研管理职能部门；制定有社科项目和资金管理办法；能够提供开展研究的必要条件并承诺信誉保证。以兼职人员身份从所兼职单位申报的，兼职单位须审核兼职人员正式聘用关系的真实性，承担项目管理职责并承诺信誉保证。</w:t>
      </w:r>
    </w:p>
    <w:p w14:paraId="7C428A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六、申报要求</w:t>
      </w:r>
    </w:p>
    <w:p w14:paraId="46CAC1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为避免一题多报、交叉申请和重复立项，确保申请人有足够的时间和精力从事课题研究，作出如下限定：</w:t>
      </w:r>
    </w:p>
    <w:p w14:paraId="6352A0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（一）申请人本次只能申报一个项目，且不能作为课题组成员参与本次其他项目的申请。课题组成员在本次申报中至多同时参与2个项目申请。</w:t>
      </w:r>
    </w:p>
    <w:p w14:paraId="1CD301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凡在内容上与在研或已结项的各级各类项目有较大关联的，须在《2025年天津市哲学社会科学规划项目津派文化研究专项申请书》(以下简称《申请书》)中详细说明所申请项目与已承担项目的联系和区别，否则视为重复申请。</w:t>
      </w:r>
    </w:p>
    <w:p w14:paraId="741ADC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14:paraId="4B2FEA9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（四）不得以与已出版的内容基本相同的研究成果参与本次项目申请。</w:t>
      </w:r>
    </w:p>
    <w:p w14:paraId="7A78D2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（五）凡以本次项目名义发表阶段性成果或最终成果，不得同时标注国家或其他省部级项目资助字样。</w:t>
      </w:r>
    </w:p>
    <w:p w14:paraId="2A30FB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七、项目成果形式</w:t>
      </w:r>
    </w:p>
    <w:p w14:paraId="50B6F2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（一）成果形式主要包括理论阐释文章、学术论文、咨政报告。</w:t>
      </w:r>
    </w:p>
    <w:p w14:paraId="0E2294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（二）各类项目立项时间自立项通知书下达之日算起，研究周期为2年。如有特殊情况，项目负责人可申请延期一次，最多不得超过1年。延期超过1年仍不能完成的予以终止，并追回结余资金。</w:t>
      </w:r>
    </w:p>
    <w:p w14:paraId="24980C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成果形式与内容须符合项目申请书的设计方案，且成果内容应与成果名称一致。其中，发表的学术论文，须符合学术规范，无知识产权争议，标明“天津市哲学社会科学规划项目津派文化研究专项成果”字样并注明项目编号。不得以内容基本相同或相近的成果申请多个项目结项。</w:t>
      </w:r>
    </w:p>
    <w:p w14:paraId="6C0486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八、项目结项要求</w:t>
      </w:r>
    </w:p>
    <w:p w14:paraId="25650F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鼓励申请人夯实研究基础、拓展研究视野，联合相关交叉学科和文化事业产业部门开展研究，产出高质量研究成果。</w:t>
      </w:r>
    </w:p>
    <w:p w14:paraId="4A03B8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满足以下条件之一的，结项等级为“优秀”：1.立项后1年内正式结项的；2.研究成果数量超出其所对应结项要求的；3.一般项目或青年项目的研究成果达到重点项目结项要求的，或者网络理论文章发表半年内单一平台浏览量超过5万的；4.重点项目网络理论文章发表半年内单一平台浏览量超过10万的。</w:t>
      </w:r>
    </w:p>
    <w:p w14:paraId="0697FD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（一）重点项目结项要求</w:t>
      </w:r>
    </w:p>
    <w:p w14:paraId="1A0908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1.在《人民日报》《光明日报》《经济日报》《求是》《红旗文稿》发表理论文章。</w:t>
      </w:r>
    </w:p>
    <w:p w14:paraId="319644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2.在南京大学“中文社会科学引文索引”（CSSCI来源期刊，含扩展版）、北京大学图书馆“中文核心期刊”发表学术论文。</w:t>
      </w:r>
    </w:p>
    <w:p w14:paraId="3A9C56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3.获省部级及以上领导同志肯定性批示，或被厅局级及以上党政机关实质性采纳的咨政报告（单独采用，附批示或采纳证明）。</w:t>
      </w:r>
    </w:p>
    <w:p w14:paraId="2DA1C3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4.在人民网、求是网、光明网、新华网、党建网、理论网、中国网、旗帜网、中国社会科学网、津云、北方网及其微信、微博、客户端发表理论文章（原创性首发，发表半年内单一平台浏览量超过5万）。</w:t>
      </w:r>
    </w:p>
    <w:p w14:paraId="2374B6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重点项目课题负责人及课题组成员以第一作者完成以上4类成果总数不少于2篇，其中课题负责人作为第一作者至少1篇，即可申请结项。</w:t>
      </w:r>
    </w:p>
    <w:p w14:paraId="3AC771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（二）一般项目、青年项目结项要求</w:t>
      </w:r>
    </w:p>
    <w:p w14:paraId="7D0A02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1.在《中国社会科学报》《学习时报》等国家部委主办的报刊，《天津日报》等省级党报（单篇字数不低于2000字）以及《天津支部生活》《党课》《求知》（单篇字数不低于4000字）发表理论文章。</w:t>
      </w:r>
    </w:p>
    <w:p w14:paraId="68E0F7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2.在中文学术期刊上发表学术论文。</w:t>
      </w:r>
    </w:p>
    <w:p w14:paraId="7D121E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3.在人民网、求是网、光明网、新华网、党建网、理论网、中国网、旗帜网、中国社会科学网、津云、北方网及其微信、微博、客户端发表理论文章（原创性首发，发表半年内单一平台浏览量不低于1万）。</w:t>
      </w:r>
    </w:p>
    <w:p w14:paraId="5B8CE6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一般项目课题负责人及课题组成员以第一作者完成以上3类成果总数不少于4篇，其中课题负责人作为第一作者至少2篇，即可申请结项。</w:t>
      </w:r>
    </w:p>
    <w:p w14:paraId="58EC03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青年项目课题负责人及课题组成员以第一作者完成以上3类成果总数不少于3篇，其中课题负责人作为第一作者至少2篇，即可申请结项。</w:t>
      </w:r>
    </w:p>
    <w:p w14:paraId="094D638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此外，凡结项成果为报刊网络理论文章的，不得重复申请市中国特色社会主义理论体系研究中心奖励和课题支持。</w:t>
      </w:r>
    </w:p>
    <w:p w14:paraId="7D54D0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九、申报纪律</w:t>
      </w:r>
    </w:p>
    <w:p w14:paraId="4BC864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须如实填写申报材料，保证没有知识产权争议、没有违背科研诚信要求的行为。不得以任何名义走访、咨询评审组专家或邀请评审组专家进行申报辅导。凡有弄虚作假、抄袭剽窃、违规违纪等行为的，一经查实即取消参评资格，5年内不得申报国家社会科学基金项目和天津市哲学社会科学规划项目，同时通报批评，并责成所在单位依规进行处分，如获立项，一律撤项，并列入不良科研信用记录。</w:t>
      </w:r>
    </w:p>
    <w:p w14:paraId="56B19A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十、申报组织工作要求</w:t>
      </w:r>
    </w:p>
    <w:p w14:paraId="4ACF91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（一）关于申报材料</w:t>
      </w:r>
    </w:p>
    <w:p w14:paraId="298E06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申报材料要求一律机打，A3纸双面印制、中缝装订。《申请书》一式3 份，《课题论证活页》一式5份，论证字数不超过3000字。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汇总表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A4纸打印一式1份。</w:t>
      </w:r>
    </w:p>
    <w:p w14:paraId="36BBEF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报送时间</w:t>
      </w:r>
    </w:p>
    <w:p w14:paraId="08F87A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各单位于2025年3月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日（星期</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）前，将《申请书》《课题论证活页》和《汇总表》纸质版</w:t>
      </w:r>
      <w:r>
        <w:rPr>
          <w:rFonts w:hint="eastAsia" w:ascii="仿宋_GB2312" w:hAnsi="仿宋_GB2312" w:eastAsia="仿宋_GB2312" w:cs="仿宋_GB2312"/>
          <w:sz w:val="32"/>
          <w:szCs w:val="32"/>
          <w:lang w:val="en-US" w:eastAsia="zh-CN"/>
        </w:rPr>
        <w:t>报送科研与国际交流处，</w:t>
      </w:r>
      <w:r>
        <w:rPr>
          <w:rFonts w:hint="eastAsia" w:ascii="仿宋_GB2312" w:hAnsi="仿宋_GB2312" w:eastAsia="仿宋_GB2312" w:cs="仿宋_GB2312"/>
          <w:sz w:val="32"/>
          <w:szCs w:val="32"/>
        </w:rPr>
        <w:t>电子版</w:t>
      </w:r>
      <w:r>
        <w:rPr>
          <w:rFonts w:hint="eastAsia" w:ascii="仿宋_GB2312" w:hAnsi="仿宋_GB2312" w:eastAsia="仿宋_GB2312" w:cs="仿宋_GB2312"/>
          <w:sz w:val="32"/>
          <w:szCs w:val="32"/>
          <w:lang w:val="en-US" w:eastAsia="zh-CN"/>
        </w:rPr>
        <w:t>发至邮箱tyky2015@126.com</w:t>
      </w:r>
      <w:r>
        <w:rPr>
          <w:rFonts w:hint="eastAsia" w:ascii="仿宋_GB2312" w:hAnsi="仿宋_GB2312" w:eastAsia="仿宋_GB2312" w:cs="仿宋_GB2312"/>
          <w:sz w:val="32"/>
          <w:szCs w:val="32"/>
        </w:rPr>
        <w:t>，逾期视作放弃。</w:t>
      </w:r>
    </w:p>
    <w:p w14:paraId="63D239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ascii="仿宋_GB2312" w:hAnsi="仿宋_GB2312" w:eastAsia="仿宋_GB2312" w:cs="仿宋_GB2312"/>
          <w:sz w:val="32"/>
          <w:szCs w:val="32"/>
        </w:rPr>
        <w:t>该专项课题成果形式及结项要求区别于市社科规划年度项目，请认真阅读把握。</w:t>
      </w:r>
    </w:p>
    <w:p w14:paraId="69029B8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rPr>
      </w:pPr>
      <w:r>
        <w:rPr>
          <w:rFonts w:hint="eastAsia"/>
        </w:rPr>
        <w:t> </w:t>
      </w:r>
      <w:r>
        <w:rPr>
          <w:rFonts w:hint="eastAsia" w:ascii="仿宋_GB2312" w:hAnsi="仿宋_GB2312" w:eastAsia="仿宋_GB2312" w:cs="仿宋_GB2312"/>
          <w:sz w:val="32"/>
          <w:szCs w:val="32"/>
        </w:rPr>
        <w:t xml:space="preserve"> 附件：1.《申请书》</w:t>
      </w:r>
    </w:p>
    <w:p w14:paraId="3E6053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2.《课题论证活页》</w:t>
      </w:r>
    </w:p>
    <w:p w14:paraId="688EC7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3.《汇总表》</w:t>
      </w:r>
    </w:p>
    <w:p w14:paraId="5AB4F3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21304EB0">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eastAsia" w:ascii="仿宋_GB2312" w:hAnsi="仿宋_GB2312" w:eastAsia="仿宋_GB2312" w:cs="仿宋_GB2312"/>
          <w:sz w:val="32"/>
          <w:szCs w:val="32"/>
          <w:lang w:val="en-US" w:eastAsia="zh-CN"/>
        </w:rPr>
      </w:pPr>
      <w:r>
        <w:rPr>
          <w:rFonts w:hint="eastAsia"/>
        </w:rPr>
        <w:t>                                   </w:t>
      </w:r>
      <w:r>
        <w:rPr>
          <w:rFonts w:hint="eastAsia" w:ascii="仿宋_GB2312" w:hAnsi="仿宋_GB2312" w:eastAsia="仿宋_GB2312" w:cs="仿宋_GB2312"/>
          <w:sz w:val="32"/>
          <w:szCs w:val="32"/>
          <w:lang w:val="en-US" w:eastAsia="zh-CN"/>
        </w:rPr>
        <w:t>科研与国际交流处</w:t>
      </w:r>
    </w:p>
    <w:p w14:paraId="2AD98CA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2025年2月20日</w:t>
      </w:r>
    </w:p>
    <w:p w14:paraId="78074E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p>
    <w:sectPr>
      <w:pgSz w:w="11906" w:h="16838"/>
      <w:pgMar w:top="2098" w:right="1474"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370D6"/>
    <w:rsid w:val="43DB6E9E"/>
    <w:rsid w:val="64621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4611</Words>
  <Characters>4693</Characters>
  <Lines>0</Lines>
  <Paragraphs>0</Paragraphs>
  <TotalTime>6</TotalTime>
  <ScaleCrop>false</ScaleCrop>
  <LinksUpToDate>false</LinksUpToDate>
  <CharactersWithSpaces>4747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2025-02-20T06:19:00Z</dcterms:created>
  <dc:creator>93428</dc:creator>
  <cp:lastModifiedBy>蜜蜜思语</cp:lastModifiedBy>
  <dcterms:modified xsi:type="dcterms:W3CDTF">2025-02-20T07:00:51Z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eyJoZGlkIjoiYzMyNGYxNzQ2MjlhZTE4YzMxNGMyNzgzNjVhNWYzNTAiLCJ1c2VySWQiOiI1NDAwODQxNTgifQ==</vt:lpwstr>
  </property>
  <property fmtid="{D5CDD505-2E9C-101B-9397-08002B2CF9AE}" pid="4" name="ICV">
    <vt:lpwstr>1E2FBA772AF748599E27857511CD8F57_12</vt:lpwstr>
  </property>
</Properties>
</file>